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A2" w:rsidRPr="00FF64B9" w:rsidRDefault="00FF64B9" w:rsidP="00FF64B9">
      <w:pPr>
        <w:jc w:val="center"/>
        <w:rPr>
          <w:rFonts w:ascii="Script MT Bold" w:hAnsi="Script MT Bold"/>
          <w:lang w:val="en-US"/>
        </w:rPr>
      </w:pPr>
      <w:r>
        <w:rPr>
          <w:rFonts w:ascii="Script MT Bold" w:hAnsi="Script MT Bold"/>
          <w:noProof/>
          <w:lang w:val="en-US"/>
        </w:rPr>
        <w:drawing>
          <wp:inline distT="0" distB="0" distL="0" distR="0">
            <wp:extent cx="2819400" cy="1333500"/>
            <wp:effectExtent l="19050" t="0" r="0" b="0"/>
            <wp:docPr id="1" name="Picture 1" descr="C:\Users\Administrator\Desktop\macheta-ana-as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macheta-ana-asl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F1F" w:rsidRPr="00322F1F" w:rsidRDefault="00322F1F" w:rsidP="00322F1F">
      <w:pPr>
        <w:spacing w:line="240" w:lineRule="auto"/>
        <w:jc w:val="both"/>
        <w:rPr>
          <w:rFonts w:ascii="Algerian" w:hAnsi="Algerian"/>
          <w:b/>
          <w:bCs/>
          <w:lang w:val="pt-BR"/>
        </w:rPr>
      </w:pPr>
      <w:r>
        <w:rPr>
          <w:b/>
          <w:bCs/>
          <w:lang w:val="pt-BR"/>
        </w:rPr>
        <w:tab/>
      </w:r>
      <w:r>
        <w:rPr>
          <w:b/>
          <w:bCs/>
          <w:lang w:val="pt-BR"/>
        </w:rPr>
        <w:tab/>
      </w:r>
      <w:r w:rsidRPr="00322F1F">
        <w:rPr>
          <w:rFonts w:ascii="Algerian" w:hAnsi="Algerian"/>
          <w:b/>
          <w:bCs/>
          <w:lang w:val="pt-BR"/>
        </w:rPr>
        <w:t>SCURT ISTORIC</w:t>
      </w:r>
    </w:p>
    <w:p w:rsidR="00322F1F" w:rsidRPr="00912C56" w:rsidRDefault="00322F1F" w:rsidP="00322F1F">
      <w:pPr>
        <w:spacing w:line="240" w:lineRule="auto"/>
        <w:jc w:val="both"/>
        <w:rPr>
          <w:lang w:val="pt-BR"/>
        </w:rPr>
      </w:pPr>
      <w:r>
        <w:rPr>
          <w:lang w:val="pt-BR"/>
        </w:rPr>
        <w:tab/>
      </w:r>
      <w:r w:rsidRPr="00912C56">
        <w:rPr>
          <w:lang w:val="pt-BR"/>
        </w:rPr>
        <w:t xml:space="preserve">Caminul pentru </w:t>
      </w:r>
      <w:r>
        <w:rPr>
          <w:lang w:val="pt-BR"/>
        </w:rPr>
        <w:t>P</w:t>
      </w:r>
      <w:r w:rsidRPr="00912C56">
        <w:rPr>
          <w:lang w:val="pt-BR"/>
        </w:rPr>
        <w:t xml:space="preserve">ersoane </w:t>
      </w:r>
      <w:r>
        <w:rPr>
          <w:lang w:val="pt-BR"/>
        </w:rPr>
        <w:t>V</w:t>
      </w:r>
      <w:r w:rsidRPr="00912C56">
        <w:rPr>
          <w:lang w:val="pt-BR"/>
        </w:rPr>
        <w:t>arstnice Bratca, este un centru rezidential modern dedicat ingrijirii persoanelor in varsta. Este situat intr-o zona linistita in com. Bratca jud. Bihor cu intrare de pe drumul national E 60 din comuna Borod si la 0,5 km de gara. Accesul facil la camin cat si pozitionarea acestuia reprezinta un excelent punct de plecare catre diversele obiective turistice ale zonei.</w:t>
      </w:r>
    </w:p>
    <w:p w:rsidR="00CA291F" w:rsidRPr="00CA291F" w:rsidRDefault="00CA291F" w:rsidP="00322F1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lgerian" w:hAnsi="Algerian"/>
          <w:b/>
          <w:bCs/>
          <w:lang w:eastAsia="ro-RO"/>
        </w:rPr>
      </w:pPr>
      <w:r w:rsidRPr="00CA291F">
        <w:rPr>
          <w:rFonts w:ascii="Algerian" w:hAnsi="Algerian"/>
          <w:b/>
          <w:bCs/>
          <w:lang w:eastAsia="ro-RO"/>
        </w:rPr>
        <w:t>Servicii oferite</w:t>
      </w:r>
    </w:p>
    <w:p w:rsidR="00CA291F" w:rsidRPr="00CA291F" w:rsidRDefault="00CA291F" w:rsidP="00322F1F">
      <w:pPr>
        <w:shd w:val="clear" w:color="auto" w:fill="FFFFFF" w:themeFill="background1"/>
        <w:spacing w:after="0" w:line="240" w:lineRule="auto"/>
        <w:jc w:val="center"/>
        <w:outlineLvl w:val="1"/>
        <w:rPr>
          <w:b/>
          <w:bCs/>
          <w:lang w:eastAsia="ro-RO"/>
        </w:rPr>
      </w:pPr>
    </w:p>
    <w:p w:rsidR="00322F1F" w:rsidRDefault="00CA291F" w:rsidP="00322F1F">
      <w:pPr>
        <w:spacing w:line="240" w:lineRule="auto"/>
        <w:jc w:val="both"/>
        <w:rPr>
          <w:lang w:val="pt-BR"/>
        </w:rPr>
      </w:pPr>
      <w:r w:rsidRPr="009D3412">
        <w:rPr>
          <w:rFonts w:ascii="Times New Roman" w:hAnsi="Times New Roman" w:cs="Times New Roman"/>
          <w:lang w:eastAsia="ro-RO"/>
        </w:rPr>
        <w:t>Găzduire pe perioada nedeterminată; asigurarea cazării, cazarmamentului, a condiţiilor igienico-sanitare corespunzătoare;</w:t>
      </w:r>
      <w:r w:rsidR="00322F1F" w:rsidRPr="00322F1F">
        <w:rPr>
          <w:bCs/>
          <w:lang w:val="pt-BR"/>
        </w:rPr>
        <w:t xml:space="preserve"> </w:t>
      </w:r>
      <w:r w:rsidR="00322F1F" w:rsidRPr="00912C56">
        <w:rPr>
          <w:bCs/>
          <w:lang w:val="pt-BR"/>
        </w:rPr>
        <w:t xml:space="preserve">Caminul detine 40 de locuri in </w:t>
      </w:r>
      <w:r w:rsidR="00322F1F" w:rsidRPr="00912C56">
        <w:rPr>
          <w:lang w:val="pt-BR"/>
        </w:rPr>
        <w:t xml:space="preserve"> camere cu 2, 3si 4 paturi, dotate cu tot confortul necesar pentru ca seniorii sa se simta ca intr-o permanenta vacanta.</w:t>
      </w:r>
    </w:p>
    <w:p w:rsidR="00CA291F" w:rsidRPr="009D3412" w:rsidRDefault="00322F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12C56">
        <w:rPr>
          <w:lang w:val="pt-BR"/>
        </w:rPr>
        <w:t>Detine sala de mese si activitati dotata cu televizor .Alimentatia este adaptata calitativ si cantitativ</w:t>
      </w:r>
    </w:p>
    <w:p w:rsidR="00CA291F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Hrană;</w:t>
      </w:r>
    </w:p>
    <w:p w:rsidR="00CA291F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Asistenţă medicală şi îngrijire - înregistrarea în evidenţa medicală, vitaminizări, imunizări, menţinerea stării de sănătate;</w:t>
      </w:r>
    </w:p>
    <w:p w:rsidR="00CA291F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Consiliere psihologică;</w:t>
      </w:r>
    </w:p>
    <w:p w:rsidR="00CA291F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Asisten</w:t>
      </w:r>
      <w:r w:rsidR="00D72CC8">
        <w:rPr>
          <w:rFonts w:ascii="Times New Roman" w:hAnsi="Times New Roman" w:cs="Times New Roman"/>
          <w:lang w:eastAsia="ro-RO"/>
        </w:rPr>
        <w:t>t</w:t>
      </w:r>
      <w:r w:rsidRPr="009D3412">
        <w:rPr>
          <w:rFonts w:ascii="Times New Roman" w:hAnsi="Times New Roman" w:cs="Times New Roman"/>
          <w:lang w:eastAsia="ro-RO"/>
        </w:rPr>
        <w:t>ă socială;</w:t>
      </w:r>
    </w:p>
    <w:p w:rsidR="00CA291F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Socializare şi petrecere a timpului liber - implicarea comunităţii în activităţile iniţiate de beneficiari, aprofundarea relaţiilor cu ceilalţi beneficiari;</w:t>
      </w:r>
    </w:p>
    <w:p w:rsidR="00322F1F" w:rsidRPr="00322F1F" w:rsidRDefault="00322F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outlineLvl w:val="1"/>
        <w:rPr>
          <w:rFonts w:ascii="Times New Roman" w:hAnsi="Times New Roman" w:cs="Times New Roman"/>
          <w:bCs/>
          <w:lang w:eastAsia="ro-RO"/>
        </w:rPr>
      </w:pPr>
      <w:r w:rsidRPr="00322F1F">
        <w:rPr>
          <w:rFonts w:ascii="Times New Roman" w:hAnsi="Times New Roman" w:cs="Times New Roman"/>
          <w:lang w:eastAsia="ro-RO"/>
        </w:rPr>
        <w:lastRenderedPageBreak/>
        <w:drawing>
          <wp:inline distT="0" distB="0" distL="0" distR="0">
            <wp:extent cx="1333500" cy="1000125"/>
            <wp:effectExtent l="19050" t="0" r="0" b="0"/>
            <wp:docPr id="3" name="Picture 0" descr="DSCF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818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821" cy="1000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412" w:rsidRPr="009D3412" w:rsidRDefault="00CA291F" w:rsidP="00322F1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outlineLvl w:val="1"/>
        <w:rPr>
          <w:rFonts w:ascii="Times New Roman" w:hAnsi="Times New Roman" w:cs="Times New Roman"/>
          <w:bCs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Asisten</w:t>
      </w:r>
      <w:r w:rsidR="00D72CC8">
        <w:rPr>
          <w:rFonts w:ascii="Times New Roman" w:hAnsi="Times New Roman" w:cs="Times New Roman"/>
          <w:lang w:eastAsia="ro-RO"/>
        </w:rPr>
        <w:t>t</w:t>
      </w:r>
      <w:r w:rsidRPr="009D3412">
        <w:rPr>
          <w:rFonts w:ascii="Times New Roman" w:hAnsi="Times New Roman" w:cs="Times New Roman"/>
          <w:lang w:eastAsia="ro-RO"/>
        </w:rPr>
        <w:t xml:space="preserve">ă spirituală </w:t>
      </w:r>
      <w:r w:rsidR="00D72CC8">
        <w:rPr>
          <w:rFonts w:ascii="Times New Roman" w:hAnsi="Times New Roman" w:cs="Times New Roman"/>
          <w:lang w:eastAsia="ro-RO"/>
        </w:rPr>
        <w:t>s</w:t>
      </w:r>
      <w:r w:rsidRPr="009D3412">
        <w:rPr>
          <w:rFonts w:ascii="Times New Roman" w:hAnsi="Times New Roman" w:cs="Times New Roman"/>
          <w:lang w:eastAsia="ro-RO"/>
        </w:rPr>
        <w:t xml:space="preserve">i religioasă. </w:t>
      </w:r>
    </w:p>
    <w:p w:rsidR="009D3412" w:rsidRPr="00CA291F" w:rsidRDefault="009D3412" w:rsidP="00322F1F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lgerian" w:hAnsi="Algerian"/>
          <w:b/>
          <w:bCs/>
          <w:lang w:eastAsia="ro-RO"/>
        </w:rPr>
      </w:pPr>
      <w:r w:rsidRPr="00CA291F">
        <w:rPr>
          <w:rFonts w:ascii="Algerian" w:hAnsi="Algerian"/>
          <w:b/>
          <w:bCs/>
          <w:lang w:eastAsia="ro-RO"/>
        </w:rPr>
        <w:t>Obiective</w:t>
      </w:r>
    </w:p>
    <w:p w:rsidR="009D3412" w:rsidRPr="009D3412" w:rsidRDefault="009D3412" w:rsidP="00322F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Creşterea calităţii şi diversificarea serviciilor sociale oferite beneficiarilor;</w:t>
      </w:r>
    </w:p>
    <w:p w:rsidR="009D3412" w:rsidRPr="009D3412" w:rsidRDefault="009D3412" w:rsidP="00322F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Menţinerea relaţiilor cu familia;</w:t>
      </w:r>
    </w:p>
    <w:p w:rsidR="009D3412" w:rsidRPr="009D3412" w:rsidRDefault="009D3412" w:rsidP="00322F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Promovarea unei imagini pozitive a beneficiarilor în comunitate;</w:t>
      </w:r>
    </w:p>
    <w:p w:rsidR="009D3412" w:rsidRPr="009D3412" w:rsidRDefault="009D3412" w:rsidP="00322F1F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ro-RO"/>
        </w:rPr>
      </w:pPr>
      <w:r w:rsidRPr="009D3412">
        <w:rPr>
          <w:rFonts w:ascii="Times New Roman" w:hAnsi="Times New Roman" w:cs="Times New Roman"/>
          <w:lang w:eastAsia="ro-RO"/>
        </w:rPr>
        <w:t>Creşterea autonomiei personale.</w:t>
      </w:r>
    </w:p>
    <w:p w:rsidR="00741834" w:rsidRPr="00741834" w:rsidRDefault="00CA291F" w:rsidP="0074183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426D43">
        <w:t xml:space="preserve">Căminul pentru  Persoane Vârstnice </w:t>
      </w:r>
      <w:r w:rsidR="00D72CC8">
        <w:t>Bratca</w:t>
      </w:r>
      <w:r w:rsidRPr="00426D43">
        <w:t xml:space="preserve">  este organizat şi funcţionează ca unitate  de asistenţă socială în regim rezidenţial pentru persoane vârstnice, prin servicii si prestaţii sociale constând în oferirea de găzduire </w:t>
      </w:r>
      <w:r w:rsidR="00D72CC8">
        <w:t>s</w:t>
      </w:r>
      <w:r w:rsidRPr="00426D43">
        <w:t xml:space="preserve">i hrană, îngrijire personală </w:t>
      </w:r>
      <w:r w:rsidR="00D72CC8">
        <w:t>s</w:t>
      </w:r>
      <w:r>
        <w:t>i medicală</w:t>
      </w:r>
      <w:r w:rsidRPr="00426D43">
        <w:t xml:space="preserve">, activităţi de petrecere a timpului liber, asistenţă socială </w:t>
      </w:r>
      <w:r w:rsidR="00D72CC8">
        <w:t>s</w:t>
      </w:r>
      <w:r w:rsidRPr="00426D43">
        <w:t xml:space="preserve">i consiliere psihologică şi este în subordinea Consiliului Local </w:t>
      </w:r>
      <w:r w:rsidR="00322F1F">
        <w:t>Bratca</w:t>
      </w:r>
      <w:r w:rsidRPr="00426D43">
        <w:t>.</w:t>
      </w:r>
    </w:p>
    <w:p w:rsidR="00741834" w:rsidRPr="00741834" w:rsidRDefault="00741834" w:rsidP="00D72CC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1834">
        <w:rPr>
          <w:rFonts w:ascii="Times New Roman" w:hAnsi="Times New Roman" w:cs="Times New Roman"/>
        </w:rPr>
        <w:t>Contribuţia lunară în Căminul pentru Persoane Vârstnice în anul 201</w:t>
      </w:r>
      <w:r w:rsidR="00D72CC8">
        <w:rPr>
          <w:rFonts w:ascii="Times New Roman" w:hAnsi="Times New Roman" w:cs="Times New Roman"/>
        </w:rPr>
        <w:t>6 este de 60% dar nu mai mult de 700 lei</w:t>
      </w:r>
      <w:r w:rsidR="00D72CC8" w:rsidRPr="00741834">
        <w:rPr>
          <w:rFonts w:ascii="Times New Roman" w:hAnsi="Times New Roman" w:cs="Times New Roman"/>
        </w:rPr>
        <w:t xml:space="preserve"> </w:t>
      </w:r>
    </w:p>
    <w:p w:rsidR="00741834" w:rsidRDefault="00741834" w:rsidP="0074183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741834">
        <w:rPr>
          <w:rFonts w:ascii="Times New Roman" w:hAnsi="Times New Roman" w:cs="Times New Roman"/>
        </w:rPr>
        <w:t>Dacă cuantumul pensiei nu acoperă costul lunar de întreţinere, diferenţa se acoperă de către  aparţinătorii legali (soț/soţie, copii sau alte persoane, conform hotărârilor judecătoreşti) .</w:t>
      </w:r>
    </w:p>
    <w:p w:rsidR="00741834" w:rsidRDefault="00741834" w:rsidP="007418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834" w:rsidRPr="00C13946" w:rsidRDefault="00C13946" w:rsidP="00C13946">
      <w:pPr>
        <w:spacing w:after="0" w:line="240" w:lineRule="auto"/>
        <w:jc w:val="center"/>
        <w:rPr>
          <w:rFonts w:ascii="Algerian" w:hAnsi="Algerian" w:cs="Times New Roman"/>
          <w:b/>
        </w:rPr>
      </w:pPr>
      <w:r w:rsidRPr="00C13946">
        <w:rPr>
          <w:rFonts w:ascii="Algerian" w:hAnsi="Algerian" w:cs="Times New Roman"/>
          <w:b/>
        </w:rPr>
        <w:t>Contact</w:t>
      </w:r>
    </w:p>
    <w:p w:rsidR="003479D6" w:rsidRPr="00741834" w:rsidRDefault="003479D6" w:rsidP="00C13946">
      <w:pPr>
        <w:spacing w:after="0" w:line="240" w:lineRule="auto"/>
        <w:jc w:val="both"/>
        <w:rPr>
          <w:rFonts w:ascii="Algerian" w:hAnsi="Algerian" w:cs="Times New Roman"/>
        </w:rPr>
      </w:pPr>
    </w:p>
    <w:p w:rsidR="00741834" w:rsidRPr="00322F1F" w:rsidRDefault="00D72CC8" w:rsidP="00C139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2F1F">
        <w:rPr>
          <w:rFonts w:ascii="Times New Roman" w:hAnsi="Times New Roman" w:cs="Times New Roman"/>
          <w:b/>
          <w:i/>
        </w:rPr>
        <w:t>Caminul pt. Persoane Varstnice</w:t>
      </w:r>
    </w:p>
    <w:p w:rsidR="00741834" w:rsidRPr="00322F1F" w:rsidRDefault="00741834" w:rsidP="00C139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2F1F">
        <w:rPr>
          <w:rFonts w:ascii="Times New Roman" w:hAnsi="Times New Roman" w:cs="Times New Roman"/>
          <w:b/>
          <w:i/>
        </w:rPr>
        <w:t xml:space="preserve">Localitatea </w:t>
      </w:r>
      <w:r w:rsidR="00D72CC8" w:rsidRPr="00322F1F">
        <w:rPr>
          <w:rFonts w:ascii="Times New Roman" w:hAnsi="Times New Roman" w:cs="Times New Roman"/>
          <w:b/>
          <w:i/>
        </w:rPr>
        <w:t>Bratca</w:t>
      </w:r>
    </w:p>
    <w:p w:rsidR="003479D6" w:rsidRPr="00322F1F" w:rsidRDefault="003479D6" w:rsidP="00C139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2F1F">
        <w:rPr>
          <w:rFonts w:ascii="Times New Roman" w:hAnsi="Times New Roman" w:cs="Times New Roman"/>
          <w:b/>
          <w:i/>
        </w:rPr>
        <w:t>Jude</w:t>
      </w:r>
      <w:r w:rsidR="00D72CC8" w:rsidRPr="00322F1F">
        <w:rPr>
          <w:rFonts w:ascii="Times New Roman" w:hAnsi="Times New Roman" w:cs="Times New Roman"/>
          <w:b/>
          <w:i/>
        </w:rPr>
        <w:t>t</w:t>
      </w:r>
      <w:r w:rsidR="00CE5349" w:rsidRPr="00322F1F">
        <w:rPr>
          <w:rFonts w:ascii="Times New Roman" w:hAnsi="Times New Roman" w:cs="Times New Roman"/>
          <w:b/>
          <w:i/>
        </w:rPr>
        <w:t>ul</w:t>
      </w:r>
      <w:r w:rsidRPr="00322F1F">
        <w:rPr>
          <w:rFonts w:ascii="Times New Roman" w:hAnsi="Times New Roman" w:cs="Times New Roman"/>
          <w:b/>
          <w:i/>
        </w:rPr>
        <w:t xml:space="preserve"> </w:t>
      </w:r>
      <w:r w:rsidR="00D72CC8" w:rsidRPr="00322F1F">
        <w:rPr>
          <w:rFonts w:ascii="Times New Roman" w:hAnsi="Times New Roman" w:cs="Times New Roman"/>
          <w:b/>
          <w:i/>
        </w:rPr>
        <w:t>Bihor</w:t>
      </w:r>
    </w:p>
    <w:p w:rsidR="00741834" w:rsidRPr="00322F1F" w:rsidRDefault="00741834" w:rsidP="00C139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2F1F">
        <w:rPr>
          <w:rFonts w:ascii="Times New Roman" w:hAnsi="Times New Roman" w:cs="Times New Roman"/>
          <w:b/>
          <w:i/>
        </w:rPr>
        <w:t>E</w:t>
      </w:r>
      <w:r w:rsidR="00362F17" w:rsidRPr="00322F1F">
        <w:rPr>
          <w:rFonts w:ascii="Times New Roman" w:hAnsi="Times New Roman" w:cs="Times New Roman"/>
          <w:b/>
          <w:i/>
        </w:rPr>
        <w:t>-</w:t>
      </w:r>
      <w:r w:rsidRPr="00322F1F">
        <w:rPr>
          <w:rFonts w:ascii="Times New Roman" w:hAnsi="Times New Roman" w:cs="Times New Roman"/>
          <w:b/>
          <w:i/>
        </w:rPr>
        <w:t>mail:</w:t>
      </w:r>
      <w:r w:rsidR="00362F17" w:rsidRPr="00322F1F">
        <w:rPr>
          <w:rFonts w:ascii="Times New Roman" w:hAnsi="Times New Roman" w:cs="Times New Roman"/>
          <w:b/>
          <w:i/>
        </w:rPr>
        <w:t xml:space="preserve"> </w:t>
      </w:r>
      <w:r w:rsidR="00D72CC8" w:rsidRPr="00322F1F">
        <w:rPr>
          <w:rFonts w:ascii="Times New Roman" w:hAnsi="Times New Roman" w:cs="Times New Roman"/>
          <w:b/>
          <w:i/>
        </w:rPr>
        <w:t>spitalbratca</w:t>
      </w:r>
      <w:r w:rsidRPr="00322F1F">
        <w:rPr>
          <w:rFonts w:ascii="Times New Roman" w:hAnsi="Times New Roman" w:cs="Times New Roman"/>
          <w:b/>
          <w:i/>
        </w:rPr>
        <w:t>@yahoo.ro</w:t>
      </w:r>
    </w:p>
    <w:p w:rsidR="00741834" w:rsidRPr="00322F1F" w:rsidRDefault="00741834" w:rsidP="00C1394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22F1F">
        <w:rPr>
          <w:rFonts w:ascii="Times New Roman" w:hAnsi="Times New Roman" w:cs="Times New Roman"/>
          <w:b/>
          <w:i/>
        </w:rPr>
        <w:t>Nr. tel fix:</w:t>
      </w:r>
      <w:r w:rsidR="00362F17" w:rsidRPr="00322F1F">
        <w:rPr>
          <w:rFonts w:ascii="Times New Roman" w:hAnsi="Times New Roman" w:cs="Times New Roman"/>
          <w:b/>
          <w:i/>
        </w:rPr>
        <w:t xml:space="preserve"> </w:t>
      </w:r>
      <w:r w:rsidRPr="00322F1F">
        <w:rPr>
          <w:rFonts w:ascii="Times New Roman" w:hAnsi="Times New Roman" w:cs="Times New Roman"/>
          <w:b/>
          <w:i/>
        </w:rPr>
        <w:t>025</w:t>
      </w:r>
      <w:r w:rsidR="00D72CC8" w:rsidRPr="00322F1F">
        <w:rPr>
          <w:rFonts w:ascii="Times New Roman" w:hAnsi="Times New Roman" w:cs="Times New Roman"/>
          <w:b/>
          <w:i/>
        </w:rPr>
        <w:t>9/473205 ;0259/473375</w:t>
      </w:r>
    </w:p>
    <w:p w:rsidR="00741834" w:rsidRPr="00322F1F" w:rsidRDefault="00741834" w:rsidP="00D72CC8">
      <w:pPr>
        <w:spacing w:after="0" w:line="240" w:lineRule="auto"/>
        <w:jc w:val="both"/>
        <w:rPr>
          <w:b/>
          <w:i/>
          <w:lang w:eastAsia="ro-RO"/>
        </w:rPr>
      </w:pPr>
    </w:p>
    <w:p w:rsidR="00D72CC8" w:rsidRDefault="00D72CC8" w:rsidP="00D72CC8">
      <w:pPr>
        <w:spacing w:after="0" w:line="240" w:lineRule="auto"/>
        <w:jc w:val="both"/>
        <w:rPr>
          <w:lang w:eastAsia="ro-RO"/>
        </w:rPr>
      </w:pPr>
    </w:p>
    <w:p w:rsidR="00D72CC8" w:rsidRDefault="00D72CC8" w:rsidP="00D72CC8">
      <w:pPr>
        <w:spacing w:after="0" w:line="240" w:lineRule="auto"/>
        <w:jc w:val="both"/>
        <w:rPr>
          <w:lang w:eastAsia="ro-RO"/>
        </w:rPr>
      </w:pPr>
    </w:p>
    <w:p w:rsidR="00D72CC8" w:rsidRDefault="00D72CC8" w:rsidP="00D72CC8">
      <w:pPr>
        <w:spacing w:after="0" w:line="240" w:lineRule="auto"/>
        <w:jc w:val="both"/>
        <w:rPr>
          <w:rFonts w:ascii="Arabic Typesetting" w:hAnsi="Arabic Typesetting" w:cs="Arabic Typesetting"/>
          <w:b/>
          <w:sz w:val="36"/>
          <w:szCs w:val="36"/>
        </w:rPr>
      </w:pPr>
    </w:p>
    <w:p w:rsidR="00965CE5" w:rsidRDefault="00965CE5" w:rsidP="00FF64B9">
      <w:pPr>
        <w:jc w:val="center"/>
        <w:rPr>
          <w:rFonts w:ascii="Arabic Typesetting" w:hAnsi="Arabic Typesetting" w:cs="Arabic Typesetting"/>
          <w:b/>
          <w:sz w:val="36"/>
          <w:szCs w:val="36"/>
        </w:rPr>
      </w:pPr>
      <w:r>
        <w:rPr>
          <w:rFonts w:ascii="Arabic Typesetting" w:hAnsi="Arabic Typesetting" w:cs="Arabic Typesetting"/>
          <w:b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2686050" cy="1333500"/>
            <wp:effectExtent l="19050" t="0" r="0" b="0"/>
            <wp:docPr id="2" name="Picture 2" descr="C:\Users\Administrator\Desktop\La-a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a-apu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D1B" w:rsidRDefault="00955D1B" w:rsidP="00955D1B">
      <w:pPr>
        <w:shd w:val="clear" w:color="auto" w:fill="FFFFFF" w:themeFill="background1"/>
        <w:spacing w:after="0" w:line="240" w:lineRule="auto"/>
        <w:jc w:val="center"/>
        <w:rPr>
          <w:rFonts w:ascii="Algerian" w:hAnsi="Algerian"/>
          <w:b/>
          <w:lang w:eastAsia="ro-RO"/>
        </w:rPr>
      </w:pPr>
      <w:r w:rsidRPr="00955D1B">
        <w:rPr>
          <w:rFonts w:ascii="Algerian" w:hAnsi="Algerian"/>
          <w:b/>
          <w:lang w:eastAsia="ro-RO"/>
        </w:rPr>
        <w:t>Acte necesare pentru institutionalizare</w:t>
      </w:r>
    </w:p>
    <w:p w:rsidR="009D3412" w:rsidRPr="00955D1B" w:rsidRDefault="009D3412" w:rsidP="00955D1B">
      <w:pPr>
        <w:shd w:val="clear" w:color="auto" w:fill="FFFFFF" w:themeFill="background1"/>
        <w:spacing w:after="0" w:line="240" w:lineRule="auto"/>
        <w:jc w:val="center"/>
        <w:rPr>
          <w:rFonts w:ascii="Algerian" w:hAnsi="Algerian"/>
          <w:b/>
          <w:lang w:eastAsia="ro-RO"/>
        </w:rPr>
      </w:pPr>
    </w:p>
    <w:p w:rsidR="00955D1B" w:rsidRPr="009D3412" w:rsidRDefault="00C13946" w:rsidP="00C139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955D1B" w:rsidRPr="009D3412">
        <w:rPr>
          <w:rFonts w:ascii="Times New Roman" w:hAnsi="Times New Roman" w:cs="Times New Roman"/>
        </w:rPr>
        <w:t>Cerere din partea solicitantului sau a reprezentantului legal;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Fişa de evaluare socio-medicală  şi ancheta socială efectuate de Serviciul Public de Asistenţă Socială a localităţii de domiciliu;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Declaraţie notarială/pe proprie răspundere din care să reiasă că solicitantul nu are copii sau întreţinători legal. Dacă aceştia există, trebuie să prezinte declaraţie notarială /pe proprie răspundere că nu se pot îngriji de persoane vârstnică şi motivele;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act de identitate;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certificat de naştere;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certificat căsătorie;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hotărâre divorţ sau certificat de deces,după caz;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certificate de naştere-copii;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Talon pensie recent, dacă este pensionar;</w:t>
      </w:r>
    </w:p>
    <w:p w:rsidR="00955D1B" w:rsidRPr="009D3412" w:rsidRDefault="00D72CC8" w:rsidP="00D72CC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</w:r>
      <w:r w:rsidR="00955D1B" w:rsidRPr="009D3412">
        <w:rPr>
          <w:rFonts w:ascii="Times New Roman" w:hAnsi="Times New Roman" w:cs="Times New Roman"/>
        </w:rPr>
        <w:t>Copie certificat de încadrare într-un grad de handicap-unde este cazul;</w:t>
      </w:r>
    </w:p>
    <w:p w:rsidR="00955D1B" w:rsidRPr="009D3412" w:rsidRDefault="00955D1B" w:rsidP="00955D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9D3412">
        <w:rPr>
          <w:rFonts w:ascii="Times New Roman" w:hAnsi="Times New Roman" w:cs="Times New Roman"/>
        </w:rPr>
        <w:t xml:space="preserve">11. </w:t>
      </w:r>
      <w:r w:rsidR="00D72CC8">
        <w:rPr>
          <w:rFonts w:ascii="Times New Roman" w:hAnsi="Times New Roman" w:cs="Times New Roman"/>
        </w:rPr>
        <w:tab/>
      </w:r>
      <w:r w:rsidRPr="009D3412">
        <w:rPr>
          <w:rFonts w:ascii="Times New Roman" w:hAnsi="Times New Roman" w:cs="Times New Roman"/>
        </w:rPr>
        <w:t>Analize medicale: RBW, radiografie plămâni, ex. coproparazitologic;</w:t>
      </w:r>
    </w:p>
    <w:p w:rsidR="00955D1B" w:rsidRPr="009D3412" w:rsidRDefault="00955D1B" w:rsidP="00955D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</w:rPr>
      </w:pPr>
      <w:r w:rsidRPr="009D3412">
        <w:rPr>
          <w:rFonts w:ascii="Times New Roman" w:hAnsi="Times New Roman" w:cs="Times New Roman"/>
        </w:rPr>
        <w:t xml:space="preserve">12. </w:t>
      </w:r>
      <w:r w:rsidR="00D72CC8">
        <w:rPr>
          <w:rFonts w:ascii="Times New Roman" w:hAnsi="Times New Roman" w:cs="Times New Roman"/>
        </w:rPr>
        <w:tab/>
      </w:r>
      <w:r w:rsidRPr="009D3412">
        <w:rPr>
          <w:rFonts w:ascii="Times New Roman" w:hAnsi="Times New Roman" w:cs="Times New Roman"/>
        </w:rPr>
        <w:t>Adeverinţă medicală de la medicul psihiatru;</w:t>
      </w:r>
    </w:p>
    <w:p w:rsidR="009D3412" w:rsidRPr="009D3412" w:rsidRDefault="00955D1B" w:rsidP="009D341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D3412">
        <w:rPr>
          <w:rFonts w:ascii="Times New Roman" w:hAnsi="Times New Roman" w:cs="Times New Roman"/>
        </w:rPr>
        <w:t xml:space="preserve">13. </w:t>
      </w:r>
      <w:r w:rsidR="00D72CC8">
        <w:rPr>
          <w:rFonts w:ascii="Times New Roman" w:hAnsi="Times New Roman" w:cs="Times New Roman"/>
        </w:rPr>
        <w:tab/>
      </w:r>
      <w:r w:rsidRPr="009D3412">
        <w:rPr>
          <w:rFonts w:ascii="Times New Roman" w:hAnsi="Times New Roman" w:cs="Times New Roman"/>
        </w:rPr>
        <w:t>Adeverinţă medicală de la medicul de familie cu diagnosticele şi tratamentul urmat şi  care să ateste că nu suferă de TBC, hepatită, lues-boli infecto-contagioase;</w:t>
      </w:r>
    </w:p>
    <w:p w:rsidR="00965CE5" w:rsidRPr="001A07C9" w:rsidRDefault="00955D1B" w:rsidP="001A07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  <w:r w:rsidRPr="009D3412">
        <w:rPr>
          <w:rFonts w:ascii="Times New Roman" w:hAnsi="Times New Roman" w:cs="Times New Roman"/>
        </w:rPr>
        <w:t xml:space="preserve">14. </w:t>
      </w:r>
      <w:r w:rsidR="00D72CC8">
        <w:rPr>
          <w:rFonts w:ascii="Times New Roman" w:hAnsi="Times New Roman" w:cs="Times New Roman"/>
        </w:rPr>
        <w:tab/>
      </w:r>
      <w:r w:rsidRPr="009D3412">
        <w:rPr>
          <w:rFonts w:ascii="Times New Roman" w:hAnsi="Times New Roman" w:cs="Times New Roman"/>
        </w:rPr>
        <w:t>Documente medicale (bilete de ieşire din spital, scrisori medicale, analize medicale) doveditoare ale stării de sănătate.</w:t>
      </w: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Default="00655718" w:rsidP="006A7FCF">
      <w:pPr>
        <w:rPr>
          <w:rFonts w:ascii="Script MT Bold" w:hAnsi="Script MT Bold"/>
          <w:lang w:val="en-US"/>
        </w:rPr>
      </w:pPr>
    </w:p>
    <w:p w:rsidR="00655718" w:rsidRPr="00FF64B9" w:rsidRDefault="00655718" w:rsidP="006A7FCF">
      <w:pPr>
        <w:rPr>
          <w:rFonts w:ascii="Script MT Bold" w:hAnsi="Script MT Bold"/>
          <w:lang w:val="en-US"/>
        </w:rPr>
      </w:pPr>
    </w:p>
    <w:p w:rsidR="006A7FCF" w:rsidRDefault="006A7FCF" w:rsidP="006A7FCF">
      <w:pPr>
        <w:rPr>
          <w:rFonts w:ascii="Arabic Typesetting" w:hAnsi="Arabic Typesetting" w:cs="Arabic Typesetting"/>
          <w:b/>
          <w:sz w:val="36"/>
          <w:szCs w:val="36"/>
        </w:rPr>
      </w:pPr>
    </w:p>
    <w:p w:rsidR="006A7FCF" w:rsidRDefault="006A7FCF" w:rsidP="006A7FCF">
      <w:pPr>
        <w:rPr>
          <w:lang w:val="en-US"/>
        </w:rPr>
      </w:pPr>
    </w:p>
    <w:p w:rsidR="006A7FCF" w:rsidRDefault="006A7FCF" w:rsidP="006A7FCF">
      <w:pPr>
        <w:rPr>
          <w:lang w:val="en-US"/>
        </w:rPr>
      </w:pPr>
    </w:p>
    <w:p w:rsidR="001426B2" w:rsidRDefault="001426B2">
      <w:pPr>
        <w:rPr>
          <w:lang w:val="en-US"/>
        </w:rPr>
      </w:pPr>
    </w:p>
    <w:p w:rsidR="001426B2" w:rsidRPr="00FF64B9" w:rsidRDefault="001426B2">
      <w:pPr>
        <w:rPr>
          <w:lang w:val="en-US"/>
        </w:rPr>
      </w:pPr>
    </w:p>
    <w:sectPr w:rsidR="001426B2" w:rsidRPr="00FF64B9" w:rsidSect="008A5742">
      <w:pgSz w:w="16838" w:h="11906" w:orient="landscape"/>
      <w:pgMar w:top="288" w:right="288" w:bottom="288" w:left="288" w:header="706" w:footer="706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44" w:rsidRDefault="004C3244" w:rsidP="00965CE5">
      <w:pPr>
        <w:spacing w:after="0" w:line="240" w:lineRule="auto"/>
      </w:pPr>
      <w:r>
        <w:separator/>
      </w:r>
    </w:p>
  </w:endnote>
  <w:endnote w:type="continuationSeparator" w:id="1">
    <w:p w:rsidR="004C3244" w:rsidRDefault="004C3244" w:rsidP="0096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44" w:rsidRDefault="004C3244" w:rsidP="00965CE5">
      <w:pPr>
        <w:spacing w:after="0" w:line="240" w:lineRule="auto"/>
      </w:pPr>
      <w:r>
        <w:separator/>
      </w:r>
    </w:p>
  </w:footnote>
  <w:footnote w:type="continuationSeparator" w:id="1">
    <w:p w:rsidR="004C3244" w:rsidRDefault="004C3244" w:rsidP="0096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1BA"/>
    <w:multiLevelType w:val="multilevel"/>
    <w:tmpl w:val="2FD0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4CF1949"/>
    <w:multiLevelType w:val="multilevel"/>
    <w:tmpl w:val="2892B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D911CE"/>
    <w:multiLevelType w:val="hybridMultilevel"/>
    <w:tmpl w:val="5442FF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613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B9"/>
    <w:rsid w:val="000307A2"/>
    <w:rsid w:val="00087477"/>
    <w:rsid w:val="001426B2"/>
    <w:rsid w:val="001717BF"/>
    <w:rsid w:val="00172E24"/>
    <w:rsid w:val="001A07C9"/>
    <w:rsid w:val="001B3383"/>
    <w:rsid w:val="001E3F77"/>
    <w:rsid w:val="0020076B"/>
    <w:rsid w:val="002339A1"/>
    <w:rsid w:val="00292C02"/>
    <w:rsid w:val="002C70A3"/>
    <w:rsid w:val="00300C4B"/>
    <w:rsid w:val="00322F1F"/>
    <w:rsid w:val="003479D6"/>
    <w:rsid w:val="00362F17"/>
    <w:rsid w:val="00457DE6"/>
    <w:rsid w:val="0047619C"/>
    <w:rsid w:val="004A09FC"/>
    <w:rsid w:val="004C3244"/>
    <w:rsid w:val="004D3A82"/>
    <w:rsid w:val="00581444"/>
    <w:rsid w:val="00655718"/>
    <w:rsid w:val="006A7FCF"/>
    <w:rsid w:val="006E0813"/>
    <w:rsid w:val="00741834"/>
    <w:rsid w:val="0086206E"/>
    <w:rsid w:val="008A5742"/>
    <w:rsid w:val="008B0AC6"/>
    <w:rsid w:val="00955D1B"/>
    <w:rsid w:val="00965CE5"/>
    <w:rsid w:val="00976497"/>
    <w:rsid w:val="009D3412"/>
    <w:rsid w:val="00A56499"/>
    <w:rsid w:val="00B1605D"/>
    <w:rsid w:val="00C13946"/>
    <w:rsid w:val="00CA291F"/>
    <w:rsid w:val="00CE5349"/>
    <w:rsid w:val="00D72CC8"/>
    <w:rsid w:val="00DD50AE"/>
    <w:rsid w:val="00DF61CC"/>
    <w:rsid w:val="00F6794E"/>
    <w:rsid w:val="00FE15DC"/>
    <w:rsid w:val="00FF3D3A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CE5"/>
  </w:style>
  <w:style w:type="paragraph" w:styleId="Footer">
    <w:name w:val="footer"/>
    <w:basedOn w:val="Normal"/>
    <w:link w:val="FooterChar"/>
    <w:uiPriority w:val="99"/>
    <w:semiHidden/>
    <w:unhideWhenUsed/>
    <w:rsid w:val="0096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5CE5"/>
  </w:style>
  <w:style w:type="paragraph" w:styleId="NormalWeb">
    <w:name w:val="Normal (Web)"/>
    <w:basedOn w:val="Normal"/>
    <w:uiPriority w:val="99"/>
    <w:unhideWhenUsed/>
    <w:rsid w:val="00CA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E404-438E-4EFB-955B-AA6190C6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 </cp:lastModifiedBy>
  <cp:revision>3</cp:revision>
  <cp:lastPrinted>2015-10-22T11:35:00Z</cp:lastPrinted>
  <dcterms:created xsi:type="dcterms:W3CDTF">2016-02-09T12:06:00Z</dcterms:created>
  <dcterms:modified xsi:type="dcterms:W3CDTF">2016-02-09T12:16:00Z</dcterms:modified>
</cp:coreProperties>
</file>